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drawing>
          <wp:inline distT="0" distB="0" distL="0" distR="0">
            <wp:extent cx="876300" cy="8763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/>
        <w:jc w:val="center"/>
      </w:pPr>
      <w:r>
        <w:rPr>
          <w:b/>
          <w:bCs/>
          <w:color w:val="2E8B8B"/>
          <w:sz w:val="26"/>
          <w:szCs w:val="26"/>
        </w:rPr>
        <w:t xml:space="preserve">Lesson Plan — Asking for Help, Skill 3</w:t>
      </w:r>
    </w:p>
    <w:p>
      <w:pPr>
        <w:spacing w:after="60"/>
        <w:jc w:val="center"/>
      </w:pPr>
      <w:r>
        <w:rPr>
          <w:b/>
          <w:bCs/>
          <w:color w:val="1B4079"/>
          <w:sz w:val="44"/>
          <w:szCs w:val="44"/>
        </w:rPr>
        <w:t xml:space="preserve">Ask Clearly</w:t>
      </w:r>
    </w:p>
    <w:p>
      <w:pPr>
        <w:pBdr>
          <w:bottom w:val="single" w:color="D8DEE8" w:sz="6"/>
        </w:pBdr>
        <w:spacing w:after="240"/>
        <w:jc w:val="center"/>
      </w:pPr>
      <w:r>
        <w:rPr>
          <w:color w:val="6B7684"/>
          <w:sz w:val="18"/>
          <w:szCs w:val="18"/>
        </w:rPr>
        <w:t xml:space="preserve">Social Skills Program  •  Ages 12–16  •  Special Education</w:t>
      </w:r>
    </w:p>
    <w:p>
      <w:pPr>
        <w:spacing w:after="40"/>
      </w:pPr>
      <w:r>
        <w:rPr>
          <w:b/>
          <w:bCs/>
          <w:color w:val="1B4079"/>
          <w:sz w:val="22"/>
          <w:szCs w:val="22"/>
        </w:rPr>
        <w:t xml:space="preserve">Objective: </w:t>
      </w:r>
      <w:r>
        <w:rPr>
          <w:sz w:val="22"/>
          <w:szCs w:val="22"/>
        </w:rPr>
        <w:t xml:space="preserve">Students will ask clearly, using the same wording every time.</w:t>
      </w:r>
    </w:p>
    <w:p>
      <w:pPr>
        <w:spacing w:after="140"/>
      </w:pPr>
      <w:r>
        <w:rPr>
          <w:b/>
          <w:bCs/>
          <w:color w:val="1B4079"/>
          <w:sz w:val="22"/>
          <w:szCs w:val="22"/>
        </w:rPr>
        <w:t xml:space="preserve">Duration: </w:t>
      </w:r>
      <w:r>
        <w:rPr>
          <w:sz w:val="22"/>
          <w:szCs w:val="22"/>
        </w:rPr>
        <w:t xml:space="preserve">30 minutes, then reinforced whenever a real problem comes up, plus set practice</w:t>
      </w:r>
    </w:p>
    <w:p>
      <w:pPr>
        <w:spacing w:after="60"/>
      </w:pPr>
      <w:r>
        <w:rPr>
          <w:b/>
          <w:bCs/>
          <w:color w:val="1B4079"/>
          <w:sz w:val="22"/>
          <w:szCs w:val="22"/>
        </w:rPr>
        <w:t xml:space="preserve">Materials: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Do / Not Yet poster for this skill, where one exists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Staff phrase card — one per staff member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Skill tracker — one per student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The classroom, plus a staff member free to be asked</w:t>
      </w:r>
    </w:p>
    <w:p>
      <w:pPr>
        <w:spacing w:after="120" w:before="240"/>
      </w:pPr>
    </w:p>
    <w:tbl>
      <w:tblPr>
        <w:tblW w:type="pct" w:w="100%"/>
        <w:tblBorders>
          <w:top w:val="single" w:color="C8D2E0" w:sz="4"/>
          <w:left w:val="single" w:color="C8D2E0" w:sz="4"/>
          <w:bottom w:val="single" w:color="C8D2E0" w:sz="4"/>
          <w:right w:val="single" w:color="C8D2E0" w:sz="4"/>
          <w:insideH w:val="single" w:color="C8D2E0" w:sz="4"/>
          <w:insideV w:val="single" w:color="C8D2E0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26%"/>
            <w:shd w:fill="1B4079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PHASE</w:t>
            </w:r>
          </w:p>
        </w:tc>
        <w:tc>
          <w:tcPr>
            <w:tcW w:type="pct" w:w="74%"/>
            <w:shd w:fill="1B4079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WHAT HAPPENS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Warm-Up / Hook</w:t>
            </w:r>
          </w:p>
          <w:p>
            <w:r>
              <w:rPr>
                <w:color w:val="6B7684"/>
                <w:sz w:val="20"/>
                <w:szCs w:val="20"/>
              </w:rPr>
              <w:t xml:space="preserve">5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1. “Which One Is Right?”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Activity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Show the Do / Not Yet poster for this skill without saying anything.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Ask which one is doing it right, and how they can tell.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Let the group name the differences before you do.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Explain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Today we work on one thing: ask clearly.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Direct Instruction / Modelling</w:t>
            </w:r>
          </w:p>
          <w:p>
            <w:r>
              <w:rPr>
                <w:color w:val="6B7684"/>
                <w:sz w:val="20"/>
                <w:szCs w:val="20"/>
              </w:rPr>
              <w:t xml:space="preserve">10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2. Ask Clearly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What this means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Get the person’s attention first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Say what you need, naming the thing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One request at a time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Calm voice, normal volume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What the teacher can say</w:t>
            </w:r>
          </w:p>
          <w:p>
            <w:pPr>
              <w:spacing w:after="50"/>
              <w:ind w:left="300"/>
            </w:pPr>
            <w:r>
              <w:rPr>
                <w:i/>
                <w:iCs/>
                <w:color w:val="43506B"/>
                <w:sz w:val="21"/>
                <w:szCs w:val="21"/>
              </w:rPr>
              <w:t xml:space="preserve">“Excuse me, can you help me with —?”</w:t>
            </w:r>
          </w:p>
          <w:p>
            <w:pPr>
              <w:spacing w:after="50"/>
              <w:ind w:left="300"/>
            </w:pPr>
            <w:r>
              <w:rPr>
                <w:i/>
                <w:iCs/>
                <w:color w:val="43506B"/>
                <w:sz w:val="21"/>
                <w:szCs w:val="21"/>
              </w:rPr>
              <w:t xml:space="preserve">“Name the thing.”</w:t>
            </w:r>
          </w:p>
          <w:p>
            <w:pPr>
              <w:spacing w:after="50"/>
              <w:ind w:left="300"/>
            </w:pPr>
            <w:r>
              <w:rPr>
                <w:i/>
                <w:iCs/>
                <w:color w:val="43506B"/>
                <w:sz w:val="21"/>
                <w:szCs w:val="21"/>
              </w:rPr>
              <w:t xml:space="preserve">“One thing at a time.”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Note for staff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If speaking is hard, showing a card counts as asking. Accept it.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Guided Practice</w:t>
            </w:r>
          </w:p>
          <w:p>
            <w:r>
              <w:rPr>
                <w:color w:val="6B7684"/>
                <w:sz w:val="20"/>
                <w:szCs w:val="20"/>
              </w:rPr>
              <w:t xml:space="preserve">10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3. Practise It Together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How to teach it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Teach the opener: “Excuse me, can you help me with —?”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Practise naming the thing instead of saying “it”.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Model a vague request and a clear one; ask which is easier to answer.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Practise the card version for students who freeze when speaking.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Independent Practice</w:t>
            </w:r>
          </w:p>
          <w:p>
            <w:r>
              <w:rPr>
                <w:color w:val="6B7684"/>
                <w:sz w:val="20"/>
                <w:szCs w:val="20"/>
              </w:rPr>
              <w:t xml:space="preserve">5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4. On His Own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Activity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Staff read out requests, some vague and some clear.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Students call out vague or clear.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For each vague one, a student fixes it.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One point for the call, one for the fix.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Worksheet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Asking Clearly worksheet — four vague requests to rewrite, plus his own sentence to keep in his pocket.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Wrap-Up &amp; Review</w:t>
            </w:r>
          </w:p>
          <w:p>
            <w:r>
              <w:rPr>
                <w:color w:val="6B7684"/>
                <w:sz w:val="20"/>
                <w:szCs w:val="20"/>
              </w:rPr>
              <w:t xml:space="preserve">5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5. Review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What to look for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Student gets attention before speaking.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Student names the specific thing he needs.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Student asks in a voice the other person can hear.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Key takeaway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Excuse me, can you help me with —?</w:t>
            </w:r>
          </w:p>
        </w:tc>
      </w:tr>
    </w:tbl>
    <w:p>
      <w:pPr>
        <w:pStyle w:val="Heading1"/>
        <w:spacing w:after="140" w:before="300"/>
      </w:pPr>
      <w:r>
        <w:rPr>
          <w:b/>
          <w:bCs/>
          <w:color w:val="1B4079"/>
          <w:sz w:val="28"/>
          <w:szCs w:val="28"/>
        </w:rPr>
        <w:t xml:space="preserve">Games</w:t>
      </w:r>
    </w:p>
    <w:p>
      <w:pPr>
        <w:spacing w:after="140"/>
      </w:pPr>
      <w:r>
        <w:rPr>
          <w:i/>
          <w:iCs/>
          <w:color w:val="5A6678"/>
          <w:sz w:val="22"/>
          <w:szCs w:val="22"/>
        </w:rPr>
        <w:t xml:space="preserve">Pick one. Any of these can replace the guided practice or fill a second session.</w:t>
      </w:r>
    </w:p>
    <w:p>
      <w:pPr>
        <w:pStyle w:val="Heading2"/>
        <w:spacing w:after="90" w:before="220"/>
      </w:pPr>
      <w:r>
        <w:rPr>
          <w:b/>
          <w:bCs/>
          <w:color w:val="2E8B8B"/>
          <w:sz w:val="24"/>
          <w:szCs w:val="24"/>
        </w:rPr>
        <w:t xml:space="preserve">1. Vague or Clear?</w:t>
      </w:r>
    </w:p>
    <w:p>
      <w:pPr>
        <w:spacing w:after="60"/>
      </w:pPr>
      <w:r>
        <w:rPr>
          <w:sz w:val="22"/>
          <w:szCs w:val="22"/>
        </w:rPr>
        <w:t xml:space="preserve">Staff read out requests, some vague and some clear.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Students call out vague or clear.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For each vague one, a student fixes it.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One point for the call, one for the fix.</w:t>
      </w:r>
    </w:p>
    <w:p>
      <w:pPr>
        <w:pStyle w:val="Heading2"/>
        <w:spacing w:after="90" w:before="220"/>
      </w:pPr>
      <w:r>
        <w:rPr>
          <w:b/>
          <w:bCs/>
          <w:color w:val="2E8B8B"/>
          <w:sz w:val="24"/>
          <w:szCs w:val="24"/>
        </w:rPr>
        <w:t xml:space="preserve">2. Right or Not Yet</w:t>
      </w:r>
    </w:p>
    <w:p>
      <w:pPr>
        <w:spacing w:after="60"/>
      </w:pPr>
      <w:r>
        <w:rPr>
          <w:sz w:val="22"/>
          <w:szCs w:val="22"/>
        </w:rPr>
        <w:t xml:space="preserve">Staff demonstrate the skill several times, some correctly and some not.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Students hold up “Right” or “Not Yet” for each one.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For every “Not Yet”, a student names what would fix it.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Then a student takes the staff role and does it correctly.</w:t>
      </w:r>
    </w:p>
    <w:p>
      <w:pPr>
        <w:pStyle w:val="Heading2"/>
        <w:spacing w:after="90" w:before="220"/>
      </w:pPr>
      <w:r>
        <w:rPr>
          <w:b/>
          <w:bCs/>
          <w:color w:val="2E8B8B"/>
          <w:sz w:val="24"/>
          <w:szCs w:val="24"/>
        </w:rPr>
        <w:t xml:space="preserve">3. Say the Phrase</w:t>
      </w:r>
    </w:p>
    <w:p>
      <w:pPr>
        <w:spacing w:after="60"/>
      </w:pPr>
      <w:r>
        <w:rPr>
          <w:sz w:val="22"/>
          <w:szCs w:val="22"/>
        </w:rPr>
        <w:t xml:space="preserve">Two teams. The phrase card for this unit face down on the table.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Teacher describes a moment; teams say which phrase belongs to it.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1 point for the right phrase, 1 bonus for saying it in a calm voice.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Swap so both teams get equal turns.</w:t>
      </w:r>
    </w:p>
    <w:p>
      <w:pPr>
        <w:spacing w:after="100"/>
      </w:pPr>
      <w:r>
        <w:rPr>
          <w:i/>
          <w:iCs/>
          <w:color w:val="5A6678"/>
          <w:sz w:val="22"/>
          <w:szCs w:val="22"/>
        </w:rPr>
        <w:t xml:space="preserve">This teaches staff wording to the students too, so the phrase stops sounding like a correction.</w:t>
      </w:r>
    </w:p>
    <w:p>
      <w:pPr>
        <w:pStyle w:val="Heading1"/>
        <w:spacing w:after="140" w:before="300"/>
      </w:pPr>
      <w:r>
        <w:rPr>
          <w:b/>
          <w:bCs/>
          <w:color w:val="1B4079"/>
          <w:sz w:val="28"/>
          <w:szCs w:val="28"/>
        </w:rPr>
        <w:t xml:space="preserve">Notes for Staff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Practise on ordinary days. A first attempt should not happen during a crisis.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Answer every real request properly during this unit, even inconvenient ones — the unit fails if asking does not work.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Post the helper chart where he can point at it when speaking is hard.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Teach the exact sentence and use it yourself when you need help in front of him.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Never make him explain why he could not manage alone.</w:t>
      </w:r>
    </w:p>
    <w:sectPr>
      <w:footerReference w:type="default" r:id="rId9"/>
      <w:pgSz w:w="12240" w:h="15840" w:orient="portrait"/>
      <w:pgMar w:top="900" w:right="900" w:bottom="1224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40"/>
      <w:jc w:val="center"/>
    </w:pPr>
    <w:r/>
    <w:r>
      <w:drawing>
        <wp:inline xmlns:a="http://schemas.openxmlformats.org/drawingml/2006/main" xmlns:pic="http://schemas.openxmlformats.org/drawingml/2006/picture">
          <wp:extent cx="407649" cy="27432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ard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07649" cy="274320"/>
                  </a:xfrm>
                  <a:prstGeom prst="rect"/>
                </pic:spPr>
              </pic:pic>
            </a:graphicData>
          </a:graphic>
        </wp:inline>
      </w:drawing>
    </w:r>
  </w:p>
  <w:p>
    <w:pPr>
      <w:spacing w:before="0"/>
      <w:jc w:val="center"/>
    </w:pPr>
    <w:r>
      <w:rPr>
        <w:color w:val="5C6B7A"/>
        <w:sz w:val="15"/>
      </w:rPr>
      <w:t>Created and directed by Rabbi Shmeil Twersky, MSEd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60" w:hanging="260"/>
      </w:pPr>
    </w:lvl>
    <w:lvl w:ilvl="1" w15:tentative="1">
      <w:start w:val="1"/>
      <w:numFmt w:val="bullet"/>
      <w:lvlText w:val="◦"/>
      <w:lvlJc w:val="left"/>
      <w:pPr>
        <w:ind w:left="8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35d97c7771245f73f5ef51f4dc47ae2e1863e6c7.png"/><Relationship Id="rId8" Type="http://schemas.openxmlformats.org/officeDocument/2006/relationships/fontTable" Target="fontTable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2026-08-16T12:37:00.024Z</dcterms:created>
  <dcterms:modified xsi:type="dcterms:W3CDTF">2026-08-16T12:37:00.024Z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