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b/>
          <w:bCs/>
          <w:color w:val="B8860B"/>
          <w:spacing w:val="20"/>
          <w:sz w:val="19"/>
          <w:szCs w:val="19"/>
        </w:rPr>
        <w:t xml:space="preserve">SOCIAL AWARENESS  ·  UNIT 1</w:t>
      </w:r>
    </w:p>
    <w:p>
      <w:pPr>
        <w:spacing w:after="40"/>
      </w:pPr>
      <w:r>
        <w:rPr>
          <w:b/>
          <w:bCs/>
          <w:color w:val="1F3864"/>
          <w:sz w:val="40"/>
          <w:szCs w:val="40"/>
        </w:rPr>
        <w:t xml:space="preserve">Lesson 4 — Gestures</w:t>
      </w:r>
    </w:p>
    <w:p>
      <w:pPr>
        <w:pBdr>
          <w:bottom w:val="single" w:color="B8860B" w:sz="12" w:space="6"/>
        </w:pBdr>
        <w:spacing w:after="240"/>
      </w:pPr>
      <w:r>
        <w:rPr>
          <w:i/>
          <w:iCs/>
          <w:color w:val="555555"/>
          <w:sz w:val="21"/>
          <w:szCs w:val="21"/>
        </w:rPr>
        <w:t xml:space="preserve">Subject 4 — Non-Verbal Communication: Gestures</w:t>
      </w:r>
    </w:p>
    <w:p>
      <w:pPr>
        <w:spacing w:after="90"/>
      </w:pPr>
      <w:r>
        <w:rPr>
          <w:b/>
          <w:bCs/>
          <w:color w:val="1F7A8C"/>
          <w:sz w:val="21"/>
          <w:szCs w:val="21"/>
        </w:rPr>
        <w:t xml:space="preserve">Objective:  </w:t>
      </w:r>
      <w:r>
        <w:rPr>
          <w:sz w:val="21"/>
          <w:szCs w:val="21"/>
        </w:rPr>
        <w:t xml:space="preserve">Students will recognise common gestures, understand what each one means, and use gestures on purpose to send a message without words.</w:t>
      </w:r>
    </w:p>
    <w:p>
      <w:pPr>
        <w:spacing w:after="90"/>
      </w:pPr>
      <w:r>
        <w:rPr>
          <w:b/>
          <w:bCs/>
          <w:color w:val="1F7A8C"/>
          <w:sz w:val="21"/>
          <w:szCs w:val="21"/>
        </w:rPr>
        <w:t xml:space="preserve">Duration:  </w:t>
      </w:r>
      <w:r>
        <w:rPr>
          <w:sz w:val="21"/>
          <w:szCs w:val="21"/>
        </w:rPr>
        <w:t xml:space="preserve">45 minutes</w:t>
      </w:r>
    </w:p>
    <w:p>
      <w:pPr>
        <w:spacing w:after="60" w:before="60"/>
      </w:pPr>
      <w:r>
        <w:rPr>
          <w:b/>
          <w:bCs/>
          <w:color w:val="1F7A8C"/>
          <w:sz w:val="21"/>
          <w:szCs w:val="21"/>
        </w:rPr>
        <w:t xml:space="preserve">Materials: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Gesture poster (wave, thumbs up, thumbs down, point, shrug, come here, stop, quiet, nod, shake head, hand raised)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Gesture picture cards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Match-the-gesture worksheet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Situation cards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Open space for charades</w:t>
      </w:r>
    </w:p>
    <w:p>
      <w:pPr>
        <w:pBdr>
          <w:bottom w:val="single" w:color="1F7A8C" w:sz="8" w:space="4"/>
        </w:pBdr>
        <w:spacing w:after="140" w:before="300"/>
      </w:pPr>
      <w:r>
        <w:rPr>
          <w:b/>
          <w:bCs/>
          <w:caps/>
          <w:color w:val="1F3864"/>
          <w:sz w:val="26"/>
          <w:szCs w:val="26"/>
        </w:rPr>
        <w:t xml:space="preserve">Lesson Sequence</w:t>
      </w:r>
    </w:p>
    <w:tbl>
      <w:tblPr>
        <w:tblW w:type="dxa" w:w="9360"/>
        <w:tblBorders>
          <w:top w:val="single" w:color="BFCEDB" w:sz="4"/>
          <w:left w:val="single" w:color="BFCEDB" w:sz="4"/>
          <w:bottom w:val="single" w:color="BFCEDB" w:sz="4"/>
          <w:right w:val="single" w:color="BFCEDB" w:sz="4"/>
          <w:insideH w:val="single" w:color="BFCEDB" w:sz="4"/>
          <w:insideV w:val="single" w:color="BFCEDB" w:sz="4"/>
        </w:tblBorders>
      </w:tblPr>
      <w:tblGrid>
        <w:gridCol w:w="2400"/>
        <w:gridCol w:w="6960"/>
      </w:tblGrid>
      <w:tr>
        <w:trPr>
          <w:tblHeader/>
        </w:trPr>
        <w:tc>
          <w:tcPr>
            <w:tcW w:type="dxa" w:w="2400"/>
            <w:shd w:fill="1F3864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Phase</w:t>
            </w:r>
          </w:p>
        </w:tc>
        <w:tc>
          <w:tcPr>
            <w:tcW w:type="dxa" w:w="6960"/>
            <w:shd w:fill="1F3864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What Happens</w:t>
            </w:r>
          </w:p>
        </w:tc>
      </w:tr>
      <w:tr>
        <w:tc>
          <w:tcPr>
            <w:tcW w:type="dxa" w:w="2400"/>
            <w:shd w:fill="EEF3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1F3864"/>
                <w:sz w:val="21"/>
                <w:szCs w:val="21"/>
              </w:rPr>
              <w:t xml:space="preserve">Warm-Up / Hook</w:t>
            </w:r>
          </w:p>
          <w:p>
            <w:r>
              <w:rPr>
                <w:i/>
                <w:iCs/>
                <w:color w:val="B8860B"/>
                <w:sz w:val="19"/>
                <w:szCs w:val="19"/>
              </w:rPr>
              <w:t xml:space="preserve">5 min</w:t>
            </w:r>
          </w:p>
        </w:tc>
        <w:tc>
          <w:tcPr>
            <w:tcW w:type="dxa" w:w="6960"/>
            <w:shd w:fill="EEF3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sz w:val="21"/>
                <w:szCs w:val="21"/>
              </w:rPr>
              <w:t xml:space="preserve">Without saying a word, wave the group in, point to their seats, put a finger to your lips, and give a thumbs up.</w:t>
            </w:r>
          </w:p>
          <w:p>
            <w:pPr>
              <w:spacing w:after="80"/>
            </w:pPr>
            <w:r>
              <w:rPr>
                <w:sz w:val="21"/>
                <w:szCs w:val="21"/>
              </w:rPr>
              <w:t xml:space="preserve">Then ask: “What did I just tell you? Did I say one word?”</w:t>
            </w:r>
          </w:p>
          <w:p>
            <w:pPr>
              <w:spacing w:after="0"/>
            </w:pPr>
            <w:r>
              <w:rPr>
                <w:sz w:val="21"/>
                <w:szCs w:val="21"/>
              </w:rPr>
              <w:t xml:space="preserve">Explain that hands talk too, and today they are learning what the hands are saying.</w:t>
            </w:r>
          </w:p>
        </w:tc>
      </w:tr>
      <w:tr>
        <w:tc>
          <w:tcPr>
            <w:tcW w:type="dxa" w:w="24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1F3864"/>
                <w:sz w:val="21"/>
                <w:szCs w:val="21"/>
              </w:rPr>
              <w:t xml:space="preserve">Direct Instruction / Modelling</w:t>
            </w:r>
          </w:p>
          <w:p>
            <w:r>
              <w:rPr>
                <w:i/>
                <w:iCs/>
                <w:color w:val="B8860B"/>
                <w:sz w:val="19"/>
                <w:szCs w:val="19"/>
              </w:rPr>
              <w:t xml:space="preserve">10 min</w:t>
            </w:r>
          </w:p>
        </w:tc>
        <w:tc>
          <w:tcPr>
            <w:tcW w:type="dxa" w:w="696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sz w:val="21"/>
                <w:szCs w:val="21"/>
              </w:rPr>
              <w:t xml:space="preserve">Go through the gesture poster one at a time. Demonstrate each one and have the group name the meaning.</w:t>
            </w:r>
          </w:p>
          <w:p>
            <w:pPr>
              <w:spacing w:after="80"/>
            </w:pPr>
            <w:r>
              <w:rPr>
                <w:sz w:val="21"/>
                <w:szCs w:val="21"/>
              </w:rPr>
              <w:t xml:space="preserve">Group them: gestures that mean yes or no, gestures that mean come or stop, gestures that show a feeling, and gestures that ask for something.</w:t>
            </w:r>
          </w:p>
          <w:p>
            <w:pPr>
              <w:spacing w:after="80"/>
            </w:pPr>
            <w:r>
              <w:rPr>
                <w:sz w:val="21"/>
                <w:szCs w:val="21"/>
              </w:rPr>
              <w:t xml:space="preserve">Teach the important point: a gesture can replace words, and a gesture can also change words. If you say “fine” with a shrug, it means something different than “fine” with a thumbs up.</w:t>
            </w:r>
          </w:p>
          <w:p>
            <w:pPr>
              <w:spacing w:after="0"/>
            </w:pPr>
            <w:r>
              <w:rPr>
                <w:sz w:val="21"/>
                <w:szCs w:val="21"/>
              </w:rPr>
              <w:t xml:space="preserve">Name the gestures we do not use — pointing rudely at a person, waving someone away, gestures that insult. Keep this short and matter of fact.</w:t>
            </w:r>
          </w:p>
        </w:tc>
      </w:tr>
      <w:tr>
        <w:tc>
          <w:tcPr>
            <w:tcW w:type="dxa" w:w="2400"/>
            <w:shd w:fill="EEF3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1F3864"/>
                <w:sz w:val="21"/>
                <w:szCs w:val="21"/>
              </w:rPr>
              <w:t xml:space="preserve">Guided Practice</w:t>
            </w:r>
          </w:p>
          <w:p>
            <w:r>
              <w:rPr>
                <w:i/>
                <w:iCs/>
                <w:color w:val="B8860B"/>
                <w:sz w:val="19"/>
                <w:szCs w:val="19"/>
              </w:rPr>
              <w:t xml:space="preserve">12 min</w:t>
            </w:r>
          </w:p>
        </w:tc>
        <w:tc>
          <w:tcPr>
            <w:tcW w:type="dxa" w:w="6960"/>
            <w:shd w:fill="EEF3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sz w:val="21"/>
                <w:szCs w:val="21"/>
              </w:rPr>
              <w:t xml:space="preserve">Hold up a gesture card. One student performs it, the group names the meaning.</w:t>
            </w:r>
          </w:p>
          <w:p>
            <w:pPr>
              <w:spacing w:after="80"/>
            </w:pPr>
            <w:r>
              <w:rPr>
                <w:sz w:val="21"/>
                <w:szCs w:val="21"/>
              </w:rPr>
              <w:t xml:space="preserve">Then reverse: give a meaning out loud and the group shows the gesture together.</w:t>
            </w:r>
          </w:p>
          <w:p>
            <w:pPr>
              <w:spacing w:after="0"/>
            </w:pPr>
            <w:r>
              <w:rPr>
                <w:sz w:val="21"/>
                <w:szCs w:val="21"/>
              </w:rPr>
              <w:t xml:space="preserve">Add situations: “You are across the room and you want to tell your friend it is time to go.” Students show which gesture works.</w:t>
            </w:r>
          </w:p>
        </w:tc>
      </w:tr>
      <w:tr>
        <w:tc>
          <w:tcPr>
            <w:tcW w:type="dxa" w:w="24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1F3864"/>
                <w:sz w:val="21"/>
                <w:szCs w:val="21"/>
              </w:rPr>
              <w:t xml:space="preserve">Independent Practice</w:t>
            </w:r>
          </w:p>
          <w:p>
            <w:r>
              <w:rPr>
                <w:i/>
                <w:iCs/>
                <w:color w:val="B8860B"/>
                <w:sz w:val="19"/>
                <w:szCs w:val="19"/>
              </w:rPr>
              <w:t xml:space="preserve">12 min</w:t>
            </w:r>
          </w:p>
        </w:tc>
        <w:tc>
          <w:tcPr>
            <w:tcW w:type="dxa" w:w="696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sz w:val="21"/>
                <w:szCs w:val="21"/>
              </w:rPr>
              <w:t xml:space="preserve">Students complete the match-the-gesture worksheet — picture to meaning.</w:t>
            </w:r>
          </w:p>
          <w:p>
            <w:pPr>
              <w:spacing w:after="80"/>
            </w:pPr>
            <w:r>
              <w:rPr>
                <w:sz w:val="21"/>
                <w:szCs w:val="21"/>
              </w:rPr>
              <w:t xml:space="preserve">Second half: each student gets three situation cards and writes or draws the gesture he would use for each.</w:t>
            </w:r>
          </w:p>
          <w:p>
            <w:pPr>
              <w:spacing w:after="0"/>
            </w:pPr>
            <w:r>
              <w:rPr>
                <w:sz w:val="21"/>
                <w:szCs w:val="21"/>
              </w:rPr>
              <w:t xml:space="preserve">Share a few answers with the group and discuss any that differ.</w:t>
            </w:r>
          </w:p>
        </w:tc>
      </w:tr>
      <w:tr>
        <w:tc>
          <w:tcPr>
            <w:tcW w:type="dxa" w:w="2400"/>
            <w:shd w:fill="EEF3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1F3864"/>
                <w:sz w:val="21"/>
                <w:szCs w:val="21"/>
              </w:rPr>
              <w:t xml:space="preserve">Wrap-Up &amp; Review</w:t>
            </w:r>
          </w:p>
          <w:p>
            <w:r>
              <w:rPr>
                <w:i/>
                <w:iCs/>
                <w:color w:val="B8860B"/>
                <w:sz w:val="19"/>
                <w:szCs w:val="19"/>
              </w:rPr>
              <w:t xml:space="preserve">6 min</w:t>
            </w:r>
          </w:p>
        </w:tc>
        <w:tc>
          <w:tcPr>
            <w:tcW w:type="dxa" w:w="6960"/>
            <w:shd w:fill="EEF3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sz w:val="21"/>
                <w:szCs w:val="21"/>
              </w:rPr>
              <w:t xml:space="preserve">Rapid review — you make a gesture, the group calls out the meaning.</w:t>
            </w:r>
          </w:p>
          <w:p>
            <w:pPr>
              <w:spacing w:after="80"/>
            </w:pPr>
            <w:r>
              <w:rPr>
                <w:sz w:val="21"/>
                <w:szCs w:val="21"/>
              </w:rPr>
              <w:t xml:space="preserve">Line the group up and dismiss them using only gestures.</w:t>
            </w:r>
          </w:p>
          <w:p>
            <w:pPr>
              <w:spacing w:after="0"/>
            </w:pPr>
            <w:r>
              <w:rPr>
                <w:sz w:val="21"/>
                <w:szCs w:val="21"/>
              </w:rPr>
              <w:t xml:space="preserve">Set the goal: notice one gesture someone uses on you today.</w:t>
            </w:r>
          </w:p>
        </w:tc>
      </w:tr>
    </w:tbl>
    <w:p>
      <w:pPr>
        <w:spacing w:after="60"/>
      </w:pPr>
    </w:p>
    <w:p>
      <w:pPr>
        <w:pBdr>
          <w:bottom w:val="single" w:color="1F7A8C" w:sz="8" w:space="4"/>
        </w:pBdr>
        <w:spacing w:after="140" w:before="300"/>
      </w:pPr>
      <w:r>
        <w:rPr>
          <w:b/>
          <w:bCs/>
          <w:caps/>
          <w:color w:val="1F3864"/>
          <w:sz w:val="26"/>
          <w:szCs w:val="26"/>
        </w:rPr>
        <w:t xml:space="preserve">Games</w:t>
      </w:r>
    </w:p>
    <w:p>
      <w:pPr>
        <w:spacing w:after="40" w:before="120"/>
      </w:pPr>
      <w:r>
        <w:rPr>
          <w:b/>
          <w:bCs/>
          <w:color w:val="1F3864"/>
          <w:sz w:val="22"/>
          <w:szCs w:val="22"/>
        </w:rPr>
        <w:t xml:space="preserve">Yeshiva Charades</w:t>
      </w:r>
    </w:p>
    <w:p>
      <w:pPr>
        <w:spacing w:after="60"/>
      </w:pPr>
      <w:r>
        <w:rPr>
          <w:sz w:val="21"/>
          <w:szCs w:val="21"/>
        </w:rPr>
        <w:t xml:space="preserve">A student draws a card with a simple message — “I am finished,” “Come here,” “I do not know,” “Be quiet” — and gets it across using only gestures. No mouthing words.</w:t>
      </w:r>
    </w:p>
    <w:p>
      <w:pPr>
        <w:spacing w:after="40" w:before="120"/>
      </w:pPr>
      <w:r>
        <w:rPr>
          <w:b/>
          <w:bCs/>
          <w:color w:val="1F3864"/>
          <w:sz w:val="22"/>
          <w:szCs w:val="22"/>
        </w:rPr>
        <w:t xml:space="preserve">Silent Instructions</w:t>
      </w:r>
    </w:p>
    <w:p>
      <w:pPr>
        <w:spacing w:after="60"/>
      </w:pPr>
      <w:r>
        <w:rPr>
          <w:sz w:val="21"/>
          <w:szCs w:val="21"/>
        </w:rPr>
        <w:t xml:space="preserve">Run a short activity — handing out papers, lining up, clearing the table — using only gestures. Students must watch you the whole time. Time the group and try to beat the record.</w:t>
      </w:r>
    </w:p>
    <w:p>
      <w:pPr>
        <w:spacing w:after="40" w:before="120"/>
      </w:pPr>
      <w:r>
        <w:rPr>
          <w:b/>
          <w:bCs/>
          <w:color w:val="1F3864"/>
          <w:sz w:val="22"/>
          <w:szCs w:val="22"/>
        </w:rPr>
        <w:t xml:space="preserve">Gesture Telephone</w:t>
      </w:r>
    </w:p>
    <w:p>
      <w:pPr>
        <w:spacing w:after="60"/>
      </w:pPr>
      <w:r>
        <w:rPr>
          <w:sz w:val="21"/>
          <w:szCs w:val="21"/>
        </w:rPr>
        <w:t xml:space="preserve">Students stand in a line facing away. The first sees a gesture, taps the next and passes it along. Compare the last gesture to the first.</w:t>
      </w:r>
    </w:p>
    <w:p>
      <w:pPr>
        <w:pBdr>
          <w:bottom w:val="single" w:color="1F7A8C" w:sz="8" w:space="4"/>
        </w:pBdr>
        <w:spacing w:after="140" w:before="300"/>
      </w:pPr>
      <w:r>
        <w:rPr>
          <w:b/>
          <w:bCs/>
          <w:caps/>
          <w:color w:val="1F3864"/>
          <w:sz w:val="26"/>
          <w:szCs w:val="26"/>
        </w:rPr>
        <w:t xml:space="preserve">What the Teacher Can Say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“What are my hands telling you?”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“Show me instead of telling me.”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“That gesture means something different — try again.”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“You used your hands and I understood you perfectly.”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“Watch his hands, not just his words.”</w:t>
      </w:r>
    </w:p>
    <w:p>
      <w:pPr>
        <w:pBdr>
          <w:bottom w:val="single" w:color="1F7A8C" w:sz="8" w:space="4"/>
        </w:pBdr>
        <w:spacing w:after="140" w:before="300"/>
      </w:pPr>
      <w:r>
        <w:rPr>
          <w:b/>
          <w:bCs/>
          <w:caps/>
          <w:color w:val="1F3864"/>
          <w:sz w:val="26"/>
          <w:szCs w:val="26"/>
        </w:rPr>
        <w:t xml:space="preserve">What to Look For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Student names common gestures correctly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Student uses a gesture on purpose to send a message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Student notices a gesture directed at him and responds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Student avoids gestures that are rude or too big for the setting</w:t>
      </w:r>
    </w:p>
    <w:p>
      <w:pPr>
        <w:pBdr>
          <w:bottom w:val="single" w:color="1F7A8C" w:sz="8" w:space="4"/>
        </w:pBdr>
        <w:spacing w:after="140" w:before="300"/>
      </w:pPr>
      <w:r>
        <w:rPr>
          <w:b/>
          <w:bCs/>
          <w:caps/>
          <w:color w:val="1F3864"/>
          <w:sz w:val="26"/>
          <w:szCs w:val="26"/>
        </w:rPr>
        <w:t xml:space="preserve">Supports and Adaptations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Start with four gestures only and add more once those are solid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Pair each gesture with a picture card the student keeps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For students who miss gestures, say the student's name first so he looks up before you gesture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Practise in real routines — use the quiet gesture and the come here gesture daily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Some students need the gesture and the words together at first; fade the words slowly</w:t>
      </w:r>
    </w:p>
    <w:sectPr>
      <w:footerReference w:type="default" r:id="rId8"/>
      <w:pgSz w:w="12240" w:h="15840" w:orient="portrait"/>
      <w:pgMar w:top="1080" w:right="1440" w:bottom="1224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/>
    <w:r>
      <w:drawing>
        <wp:inline xmlns:a="http://schemas.openxmlformats.org/drawingml/2006/main" xmlns:pic="http://schemas.openxmlformats.org/drawingml/2006/picture">
          <wp:extent cx="407649" cy="274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ar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7649" cy="27432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5C6B7A"/>
        <w:sz w:val="15"/>
      </w:rPr>
      <w:t>Created and directed by Rabbi Shmeil Twersky, MSEd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31" w:hanging="259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2026-09-01T22:58:30.807Z</dcterms:created>
  <dcterms:modified xsi:type="dcterms:W3CDTF">2026-09-01T22:58:30.807Z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